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FC" w:rsidRPr="00156B04" w:rsidRDefault="00357C40">
      <w:pPr>
        <w:rPr>
          <w:rFonts w:ascii="Arial" w:hAnsi="Arial" w:cs="Arial"/>
          <w:b/>
        </w:rPr>
      </w:pPr>
      <w:r w:rsidRPr="00156B04">
        <w:rPr>
          <w:rFonts w:ascii="Arial" w:hAnsi="Arial" w:cs="Arial"/>
          <w:b/>
        </w:rPr>
        <w:t xml:space="preserve">Performance in Initiating and Delivering Clinical Research – NCH&amp;C </w:t>
      </w:r>
      <w:r w:rsidR="00123DAA">
        <w:rPr>
          <w:rFonts w:ascii="Arial" w:hAnsi="Arial" w:cs="Arial"/>
          <w:b/>
        </w:rPr>
        <w:t>Q1 2017/18</w:t>
      </w:r>
    </w:p>
    <w:p w:rsidR="00357C40" w:rsidRDefault="00357C40" w:rsidP="00357C40">
      <w:pPr>
        <w:autoSpaceDE w:val="0"/>
        <w:autoSpaceDN w:val="0"/>
        <w:adjustRightInd w:val="0"/>
        <w:spacing w:after="0" w:line="240" w:lineRule="auto"/>
        <w:rPr>
          <w:rFonts w:ascii="Arial" w:hAnsi="Arial" w:cs="Arial"/>
          <w:color w:val="000000"/>
        </w:rPr>
      </w:pPr>
      <w:r>
        <w:rPr>
          <w:rFonts w:ascii="Arial" w:hAnsi="Arial" w:cs="Arial"/>
          <w:color w:val="000000"/>
        </w:rPr>
        <w:t>The Government wishes to see a dramatic and sustained improvement in the performance of providers of NHS services in initiating and delivering clinical research. The aim is to increase the number of patients who have the opportunity to participate in research and to enhance the nation’s attractiveness as a host for research.</w:t>
      </w:r>
    </w:p>
    <w:p w:rsidR="00357C40" w:rsidRPr="00357C40" w:rsidRDefault="00357C40" w:rsidP="00357C40">
      <w:pPr>
        <w:spacing w:before="100" w:beforeAutospacing="1" w:after="100" w:afterAutospacing="1" w:line="240" w:lineRule="auto"/>
        <w:rPr>
          <w:rFonts w:ascii="Arial" w:hAnsi="Arial" w:cs="Arial"/>
          <w:color w:val="000000"/>
        </w:rPr>
      </w:pPr>
      <w:r w:rsidRPr="00357C40">
        <w:rPr>
          <w:rFonts w:ascii="Arial" w:hAnsi="Arial" w:cs="Arial"/>
          <w:color w:val="000000"/>
        </w:rPr>
        <w:t>The Government’s Plan for Growth, published in March 2011, announced the transformation of incentives at local level for efficiency in initiation and delivery of clinical research. </w:t>
      </w:r>
    </w:p>
    <w:p w:rsidR="00357C40" w:rsidRPr="00357C40" w:rsidRDefault="001D5889" w:rsidP="00357C40">
      <w:pPr>
        <w:spacing w:before="100" w:beforeAutospacing="1" w:after="100" w:afterAutospacing="1" w:line="240" w:lineRule="auto"/>
        <w:rPr>
          <w:rFonts w:ascii="Arial" w:hAnsi="Arial" w:cs="Arial"/>
          <w:color w:val="000000"/>
        </w:rPr>
      </w:pPr>
      <w:r>
        <w:rPr>
          <w:rFonts w:ascii="Arial" w:hAnsi="Arial" w:cs="Arial"/>
          <w:color w:val="000000"/>
        </w:rPr>
        <w:t xml:space="preserve">As part of this </w:t>
      </w:r>
      <w:proofErr w:type="spellStart"/>
      <w:r>
        <w:rPr>
          <w:rFonts w:ascii="Arial" w:hAnsi="Arial" w:cs="Arial"/>
          <w:color w:val="000000"/>
        </w:rPr>
        <w:t>incentiv</w:t>
      </w:r>
      <w:r w:rsidR="00357C40" w:rsidRPr="00357C40">
        <w:rPr>
          <w:rFonts w:ascii="Arial" w:hAnsi="Arial" w:cs="Arial"/>
          <w:color w:val="000000"/>
        </w:rPr>
        <w:t>ation</w:t>
      </w:r>
      <w:proofErr w:type="spellEnd"/>
      <w:r w:rsidR="00357C40" w:rsidRPr="00357C40">
        <w:rPr>
          <w:rFonts w:ascii="Arial" w:hAnsi="Arial" w:cs="Arial"/>
          <w:color w:val="000000"/>
        </w:rPr>
        <w:t>, the Department of Health requires, via the new National Institute for Health Research (NIHR) contracts with providers of NHS services, the publication on a quarterly basis of information regarding: the 70-day benchmark for clinical trial initiation; and the recruitment to time and target for commercial contract clinical trials.</w:t>
      </w:r>
    </w:p>
    <w:p w:rsidR="00357C40" w:rsidRPr="00357C40" w:rsidRDefault="00357C40" w:rsidP="00357C40">
      <w:pPr>
        <w:spacing w:before="100" w:beforeAutospacing="1" w:after="100" w:afterAutospacing="1" w:line="240" w:lineRule="auto"/>
        <w:rPr>
          <w:rFonts w:ascii="Arial" w:hAnsi="Arial" w:cs="Arial"/>
          <w:color w:val="000000"/>
        </w:rPr>
      </w:pPr>
      <w:r w:rsidRPr="00357C40">
        <w:rPr>
          <w:rFonts w:ascii="Arial" w:hAnsi="Arial" w:cs="Arial"/>
          <w:color w:val="000000"/>
        </w:rPr>
        <w:t xml:space="preserve">Providers of NHS services are required to publish the following information for </w:t>
      </w:r>
      <w:r w:rsidRPr="00156B04">
        <w:rPr>
          <w:rFonts w:ascii="Arial" w:hAnsi="Arial" w:cs="Arial"/>
          <w:b/>
          <w:color w:val="000000"/>
        </w:rPr>
        <w:t>Initiating Clinical Research</w:t>
      </w:r>
      <w:r w:rsidRPr="00357C40">
        <w:rPr>
          <w:rFonts w:ascii="Arial" w:hAnsi="Arial" w:cs="Arial"/>
          <w:color w:val="000000"/>
        </w:rPr>
        <w:t xml:space="preserve"> (i.e. the 70-day benchmark) on a publicly available part of their website:</w:t>
      </w:r>
    </w:p>
    <w:p w:rsidR="00357C40" w:rsidRPr="00357C40" w:rsidRDefault="00357C40" w:rsidP="00357C40">
      <w:pPr>
        <w:numPr>
          <w:ilvl w:val="0"/>
          <w:numId w:val="1"/>
        </w:numPr>
        <w:spacing w:before="100" w:beforeAutospacing="1" w:after="100" w:afterAutospacing="1" w:line="240" w:lineRule="auto"/>
        <w:ind w:left="870"/>
        <w:rPr>
          <w:rFonts w:ascii="Arial" w:hAnsi="Arial" w:cs="Arial"/>
          <w:color w:val="000000"/>
        </w:rPr>
      </w:pPr>
      <w:r w:rsidRPr="00357C40">
        <w:rPr>
          <w:rFonts w:ascii="Arial" w:hAnsi="Arial" w:cs="Arial"/>
          <w:color w:val="000000"/>
        </w:rPr>
        <w:t>The name of the trial;</w:t>
      </w:r>
    </w:p>
    <w:p w:rsidR="00357C40" w:rsidRPr="00357C40" w:rsidRDefault="00357C40" w:rsidP="00357C40">
      <w:pPr>
        <w:numPr>
          <w:ilvl w:val="0"/>
          <w:numId w:val="1"/>
        </w:numPr>
        <w:spacing w:before="100" w:beforeAutospacing="1" w:after="100" w:afterAutospacing="1" w:line="240" w:lineRule="auto"/>
        <w:ind w:left="870"/>
        <w:rPr>
          <w:rFonts w:ascii="Arial" w:hAnsi="Arial" w:cs="Arial"/>
          <w:color w:val="000000"/>
        </w:rPr>
      </w:pPr>
      <w:r w:rsidRPr="00357C40">
        <w:rPr>
          <w:rFonts w:ascii="Arial" w:hAnsi="Arial" w:cs="Arial"/>
          <w:color w:val="000000"/>
        </w:rPr>
        <w:t>The Research Et</w:t>
      </w:r>
      <w:r w:rsidR="00DD27D9">
        <w:rPr>
          <w:rFonts w:ascii="Arial" w:hAnsi="Arial" w:cs="Arial"/>
          <w:color w:val="000000"/>
        </w:rPr>
        <w:t>hics Committee reference number and IRAS number</w:t>
      </w:r>
    </w:p>
    <w:p w:rsidR="00357C40" w:rsidRPr="00357C40" w:rsidRDefault="00357C40" w:rsidP="00357C40">
      <w:pPr>
        <w:numPr>
          <w:ilvl w:val="0"/>
          <w:numId w:val="1"/>
        </w:numPr>
        <w:spacing w:before="100" w:beforeAutospacing="1" w:after="100" w:afterAutospacing="1" w:line="240" w:lineRule="auto"/>
        <w:ind w:left="870"/>
        <w:rPr>
          <w:rFonts w:ascii="Arial" w:hAnsi="Arial" w:cs="Arial"/>
          <w:color w:val="000000"/>
        </w:rPr>
      </w:pPr>
      <w:r w:rsidRPr="00357C40">
        <w:rPr>
          <w:rFonts w:ascii="Arial" w:hAnsi="Arial" w:cs="Arial"/>
          <w:color w:val="000000"/>
        </w:rPr>
        <w:t>The date of receipt of a Valid Research Application;</w:t>
      </w:r>
    </w:p>
    <w:p w:rsidR="00357C40" w:rsidRPr="00357C40" w:rsidRDefault="00357C40" w:rsidP="00357C40">
      <w:pPr>
        <w:numPr>
          <w:ilvl w:val="0"/>
          <w:numId w:val="1"/>
        </w:numPr>
        <w:spacing w:before="100" w:beforeAutospacing="1" w:after="100" w:afterAutospacing="1" w:line="240" w:lineRule="auto"/>
        <w:ind w:left="870"/>
        <w:rPr>
          <w:rFonts w:ascii="Arial" w:hAnsi="Arial" w:cs="Arial"/>
          <w:color w:val="000000"/>
        </w:rPr>
      </w:pPr>
      <w:r w:rsidRPr="00357C40">
        <w:rPr>
          <w:rFonts w:ascii="Arial" w:hAnsi="Arial" w:cs="Arial"/>
          <w:color w:val="000000"/>
        </w:rPr>
        <w:t>The date of the recruitment of first patient; and</w:t>
      </w:r>
    </w:p>
    <w:p w:rsidR="00357C40" w:rsidRDefault="00357C40" w:rsidP="00357C40">
      <w:pPr>
        <w:numPr>
          <w:ilvl w:val="0"/>
          <w:numId w:val="1"/>
        </w:numPr>
        <w:spacing w:before="100" w:beforeAutospacing="1" w:after="100" w:afterAutospacing="1" w:line="240" w:lineRule="auto"/>
        <w:ind w:left="870"/>
        <w:rPr>
          <w:rFonts w:ascii="Arial" w:hAnsi="Arial" w:cs="Arial"/>
          <w:color w:val="000000"/>
        </w:rPr>
      </w:pPr>
      <w:r w:rsidRPr="00357C40">
        <w:rPr>
          <w:rFonts w:ascii="Arial" w:hAnsi="Arial" w:cs="Arial"/>
          <w:color w:val="000000"/>
        </w:rPr>
        <w:t>Where the benchmark has not been achieved for a particular clinical trial, the r</w:t>
      </w:r>
      <w:bookmarkStart w:id="0" w:name="_GoBack"/>
      <w:bookmarkEnd w:id="0"/>
      <w:r w:rsidRPr="00357C40">
        <w:rPr>
          <w:rFonts w:ascii="Arial" w:hAnsi="Arial" w:cs="Arial"/>
          <w:color w:val="000000"/>
        </w:rPr>
        <w:t>eason for not doing so.</w:t>
      </w:r>
    </w:p>
    <w:p w:rsidR="00C8490E" w:rsidRPr="00C8490E" w:rsidRDefault="00C8490E" w:rsidP="00C8490E">
      <w:pPr>
        <w:autoSpaceDE w:val="0"/>
        <w:autoSpaceDN w:val="0"/>
        <w:adjustRightInd w:val="0"/>
        <w:spacing w:after="0" w:line="240" w:lineRule="auto"/>
        <w:rPr>
          <w:rFonts w:ascii="Arial" w:hAnsi="Arial" w:cs="Arial"/>
          <w:color w:val="000000"/>
        </w:rPr>
      </w:pPr>
      <w:r w:rsidRPr="00C8490E">
        <w:rPr>
          <w:rFonts w:ascii="Arial" w:hAnsi="Arial" w:cs="Arial"/>
          <w:b/>
          <w:color w:val="000000"/>
        </w:rPr>
        <w:t>From Q4 2015-16</w:t>
      </w:r>
      <w:r w:rsidRPr="00C8490E">
        <w:rPr>
          <w:rFonts w:ascii="Arial" w:hAnsi="Arial" w:cs="Arial"/>
          <w:color w:val="000000"/>
        </w:rPr>
        <w:t xml:space="preserve">, for trials which are subject to HRA approval rather than NHS approval, providers must publish the following information: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Research Ethics Committee (REC) reference number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Integrated Research Application System (IRAS) Number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name of the clinical trial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invited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selected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HRA Approval date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confirmed by the sponsor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the site was confirmed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when the site is ready to start </w:t>
      </w:r>
    </w:p>
    <w:p w:rsidR="00C8490E" w:rsidRPr="00C8490E" w:rsidRDefault="00C8490E" w:rsidP="00C8490E">
      <w:pPr>
        <w:pStyle w:val="ListParagraph"/>
        <w:numPr>
          <w:ilvl w:val="0"/>
          <w:numId w:val="1"/>
        </w:numPr>
        <w:autoSpaceDE w:val="0"/>
        <w:autoSpaceDN w:val="0"/>
        <w:adjustRightInd w:val="0"/>
        <w:spacing w:after="66" w:line="240" w:lineRule="auto"/>
        <w:rPr>
          <w:rFonts w:ascii="Arial" w:hAnsi="Arial" w:cs="Arial"/>
          <w:color w:val="000000"/>
        </w:rPr>
      </w:pPr>
      <w:r w:rsidRPr="00C8490E">
        <w:rPr>
          <w:rFonts w:ascii="Arial" w:hAnsi="Arial" w:cs="Arial"/>
          <w:color w:val="000000"/>
        </w:rPr>
        <w:t xml:space="preserve">The date of the recruitment of first patient, and </w:t>
      </w:r>
    </w:p>
    <w:p w:rsidR="00C8490E" w:rsidRPr="00C8490E" w:rsidRDefault="00C8490E" w:rsidP="00C8490E">
      <w:pPr>
        <w:pStyle w:val="ListParagraph"/>
        <w:numPr>
          <w:ilvl w:val="0"/>
          <w:numId w:val="1"/>
        </w:num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Reasons for delay in recruiting the first patient into a trial. </w:t>
      </w:r>
    </w:p>
    <w:p w:rsidR="00C8490E" w:rsidRPr="00C8490E" w:rsidRDefault="00C8490E" w:rsidP="00C8490E">
      <w:pPr>
        <w:autoSpaceDE w:val="0"/>
        <w:autoSpaceDN w:val="0"/>
        <w:adjustRightInd w:val="0"/>
        <w:spacing w:after="0" w:line="240" w:lineRule="auto"/>
        <w:rPr>
          <w:rFonts w:ascii="Arial" w:hAnsi="Arial" w:cs="Arial"/>
          <w:color w:val="000000"/>
        </w:rPr>
      </w:pPr>
    </w:p>
    <w:p w:rsidR="00C8490E" w:rsidRPr="00C8490E" w:rsidRDefault="00C8490E" w:rsidP="00C8490E">
      <w:p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Plus, in the event that a trial initiation did not proceed to confirmation: </w:t>
      </w:r>
    </w:p>
    <w:p w:rsidR="00C8490E" w:rsidRPr="00C8490E" w:rsidRDefault="00C8490E" w:rsidP="00C8490E">
      <w:pPr>
        <w:pStyle w:val="ListParagraph"/>
        <w:numPr>
          <w:ilvl w:val="0"/>
          <w:numId w:val="1"/>
        </w:numPr>
        <w:autoSpaceDE w:val="0"/>
        <w:autoSpaceDN w:val="0"/>
        <w:adjustRightInd w:val="0"/>
        <w:spacing w:after="0" w:line="240" w:lineRule="auto"/>
        <w:rPr>
          <w:rFonts w:ascii="Arial" w:hAnsi="Arial" w:cs="Arial"/>
          <w:color w:val="000000"/>
        </w:rPr>
      </w:pPr>
      <w:r w:rsidRPr="00C8490E">
        <w:rPr>
          <w:rFonts w:ascii="Arial" w:hAnsi="Arial" w:cs="Arial"/>
          <w:color w:val="000000"/>
        </w:rPr>
        <w:t xml:space="preserve">The non-confirmation status. </w:t>
      </w:r>
    </w:p>
    <w:p w:rsidR="00156B04" w:rsidRPr="00156B04" w:rsidRDefault="00156B04" w:rsidP="00156B04">
      <w:pPr>
        <w:pStyle w:val="ListParagraph"/>
        <w:spacing w:before="100" w:beforeAutospacing="1" w:after="100" w:afterAutospacing="1" w:line="240" w:lineRule="auto"/>
        <w:rPr>
          <w:rFonts w:ascii="Arial" w:hAnsi="Arial" w:cs="Arial"/>
          <w:color w:val="000000"/>
        </w:rPr>
      </w:pPr>
    </w:p>
    <w:p w:rsidR="00C8490E" w:rsidRPr="00357C40" w:rsidRDefault="00C8490E" w:rsidP="00C8490E">
      <w:pPr>
        <w:spacing w:before="100" w:beforeAutospacing="1" w:after="100" w:afterAutospacing="1" w:line="240" w:lineRule="auto"/>
        <w:rPr>
          <w:rFonts w:ascii="Arial" w:hAnsi="Arial" w:cs="Arial"/>
          <w:color w:val="000000"/>
        </w:rPr>
      </w:pPr>
      <w:r w:rsidRPr="00357C40">
        <w:rPr>
          <w:rFonts w:ascii="Arial" w:hAnsi="Arial" w:cs="Arial"/>
          <w:color w:val="000000"/>
        </w:rPr>
        <w:lastRenderedPageBreak/>
        <w:t>Providers of NHS services are also required to publish the following information regarding commercial contract clinical trials, to meet the transparency commitment for delivering clinical research to time and target on a publicly available part of their website:</w:t>
      </w:r>
    </w:p>
    <w:p w:rsidR="00B913C0" w:rsidRPr="00B913C0" w:rsidRDefault="00B913C0" w:rsidP="00B913C0">
      <w:pPr>
        <w:autoSpaceDE w:val="0"/>
        <w:autoSpaceDN w:val="0"/>
        <w:adjustRightInd w:val="0"/>
        <w:spacing w:after="0" w:line="240" w:lineRule="auto"/>
        <w:rPr>
          <w:rFonts w:ascii="Arial" w:hAnsi="Arial" w:cs="Arial"/>
          <w:color w:val="000000"/>
        </w:rPr>
      </w:pPr>
      <w:r w:rsidRPr="00B913C0">
        <w:rPr>
          <w:rFonts w:ascii="Arial" w:hAnsi="Arial" w:cs="Arial"/>
          <w:b/>
          <w:color w:val="000000"/>
        </w:rPr>
        <w:t>From Q4 2015-16,</w:t>
      </w:r>
      <w:r w:rsidRPr="00B913C0">
        <w:rPr>
          <w:rFonts w:ascii="Arial" w:hAnsi="Arial" w:cs="Arial"/>
          <w:color w:val="000000"/>
        </w:rPr>
        <w:t xml:space="preserve"> </w:t>
      </w:r>
      <w:r>
        <w:rPr>
          <w:rFonts w:ascii="Arial" w:hAnsi="Arial" w:cs="Arial"/>
          <w:color w:val="000000"/>
        </w:rPr>
        <w:t>providers</w:t>
      </w:r>
      <w:r w:rsidRPr="00B913C0">
        <w:rPr>
          <w:rFonts w:ascii="Arial" w:hAnsi="Arial" w:cs="Arial"/>
          <w:color w:val="000000"/>
        </w:rPr>
        <w:t xml:space="preserve"> are required to publish the follow information for </w:t>
      </w:r>
      <w:r w:rsidRPr="00B913C0">
        <w:rPr>
          <w:rFonts w:ascii="Arial" w:hAnsi="Arial" w:cs="Arial"/>
          <w:b/>
          <w:color w:val="000000"/>
        </w:rPr>
        <w:t>Performance in Delivering</w:t>
      </w:r>
      <w:r w:rsidRPr="00B913C0">
        <w:rPr>
          <w:rFonts w:ascii="Arial" w:hAnsi="Arial" w:cs="Arial"/>
          <w:color w:val="000000"/>
        </w:rPr>
        <w:t xml:space="preserve"> Clinical</w:t>
      </w:r>
      <w:r>
        <w:rPr>
          <w:rFonts w:ascii="Arial" w:hAnsi="Arial" w:cs="Arial"/>
          <w:color w:val="000000"/>
        </w:rPr>
        <w:t xml:space="preserve"> Research:</w:t>
      </w:r>
      <w:r w:rsidRPr="00B913C0">
        <w:rPr>
          <w:rFonts w:ascii="Arial" w:hAnsi="Arial" w:cs="Arial"/>
          <w:color w:val="000000"/>
        </w:rPr>
        <w:t xml:space="preserve"> </w:t>
      </w:r>
    </w:p>
    <w:p w:rsidR="00B913C0" w:rsidRPr="00B913C0" w:rsidRDefault="00B913C0" w:rsidP="00B913C0">
      <w:pPr>
        <w:autoSpaceDE w:val="0"/>
        <w:autoSpaceDN w:val="0"/>
        <w:adjustRightInd w:val="0"/>
        <w:spacing w:after="0" w:line="240" w:lineRule="auto"/>
        <w:rPr>
          <w:rFonts w:ascii="Arial" w:hAnsi="Arial" w:cs="Arial"/>
          <w:color w:val="000000"/>
        </w:rPr>
      </w:pP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Research Ethics Committee (REC) reference number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Integrated Research Application System (IRAS) Number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name of the clinical trial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Whether or not a target number of patients was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minimum number of patients agreed to be recruited (if a range has been agreed; this will be the same as the maximum if a fixed number has been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maximum number of patients agreed to be recruited (if a range has been agreed; this will be the same as the minimum if a fixed number has been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Whether or not a target date to recruit patients was agreed </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date agreed to recruit the target number of patients </w:t>
      </w:r>
    </w:p>
    <w:p w:rsid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total number of patients recruited at the agreed target date </w:t>
      </w:r>
    </w:p>
    <w:p w:rsidR="00A0575D" w:rsidRPr="00B913C0" w:rsidRDefault="00A0575D" w:rsidP="00B913C0">
      <w:pPr>
        <w:pStyle w:val="ListParagraph"/>
        <w:numPr>
          <w:ilvl w:val="0"/>
          <w:numId w:val="1"/>
        </w:numPr>
        <w:autoSpaceDE w:val="0"/>
        <w:autoSpaceDN w:val="0"/>
        <w:adjustRightInd w:val="0"/>
        <w:spacing w:after="68" w:line="240" w:lineRule="auto"/>
        <w:rPr>
          <w:rFonts w:ascii="Arial" w:hAnsi="Arial" w:cs="Arial"/>
          <w:color w:val="000000"/>
        </w:rPr>
      </w:pPr>
      <w:r>
        <w:rPr>
          <w:rFonts w:ascii="Arial" w:hAnsi="Arial" w:cs="Arial"/>
          <w:color w:val="000000"/>
        </w:rPr>
        <w:t>The total number of study participants recruited</w:t>
      </w:r>
    </w:p>
    <w:p w:rsidR="00B913C0" w:rsidRPr="00B913C0" w:rsidRDefault="00B913C0" w:rsidP="00B913C0">
      <w:pPr>
        <w:pStyle w:val="ListParagraph"/>
        <w:numPr>
          <w:ilvl w:val="0"/>
          <w:numId w:val="1"/>
        </w:numPr>
        <w:autoSpaceDE w:val="0"/>
        <w:autoSpaceDN w:val="0"/>
        <w:adjustRightInd w:val="0"/>
        <w:spacing w:after="68" w:line="240" w:lineRule="auto"/>
        <w:rPr>
          <w:rFonts w:ascii="Arial" w:hAnsi="Arial" w:cs="Arial"/>
          <w:color w:val="000000"/>
        </w:rPr>
      </w:pPr>
      <w:r w:rsidRPr="00B913C0">
        <w:rPr>
          <w:rFonts w:ascii="Arial" w:hAnsi="Arial" w:cs="Arial"/>
          <w:color w:val="000000"/>
        </w:rPr>
        <w:t xml:space="preserve">The date that the trial closed to recruitment </w:t>
      </w:r>
    </w:p>
    <w:p w:rsidR="00B913C0" w:rsidRPr="00B913C0" w:rsidRDefault="00B913C0" w:rsidP="00B913C0">
      <w:pPr>
        <w:pStyle w:val="ListParagraph"/>
        <w:numPr>
          <w:ilvl w:val="0"/>
          <w:numId w:val="1"/>
        </w:numPr>
        <w:autoSpaceDE w:val="0"/>
        <w:autoSpaceDN w:val="0"/>
        <w:adjustRightInd w:val="0"/>
        <w:spacing w:after="0" w:line="240" w:lineRule="auto"/>
        <w:rPr>
          <w:rFonts w:ascii="Arial" w:hAnsi="Arial" w:cs="Arial"/>
          <w:color w:val="000000"/>
        </w:rPr>
      </w:pPr>
      <w:r w:rsidRPr="00B913C0">
        <w:rPr>
          <w:rFonts w:ascii="Arial" w:hAnsi="Arial" w:cs="Arial"/>
          <w:color w:val="000000"/>
        </w:rPr>
        <w:t>The reason for the closu</w:t>
      </w:r>
      <w:r w:rsidR="00A0575D">
        <w:rPr>
          <w:rFonts w:ascii="Arial" w:hAnsi="Arial" w:cs="Arial"/>
          <w:color w:val="000000"/>
        </w:rPr>
        <w:t>re of the trial.</w:t>
      </w:r>
    </w:p>
    <w:p w:rsidR="00B913C0" w:rsidRPr="00B913C0" w:rsidRDefault="00B913C0" w:rsidP="00B913C0">
      <w:pPr>
        <w:spacing w:before="100" w:beforeAutospacing="1" w:after="100" w:afterAutospacing="1" w:line="240" w:lineRule="auto"/>
        <w:rPr>
          <w:rFonts w:ascii="Arial" w:hAnsi="Arial" w:cs="Arial"/>
          <w:color w:val="000000"/>
        </w:rPr>
      </w:pPr>
      <w:r w:rsidRPr="00B913C0">
        <w:rPr>
          <w:rFonts w:ascii="Arial" w:hAnsi="Arial" w:cs="Arial"/>
          <w:color w:val="000000"/>
        </w:rPr>
        <w:t>Norfolk Community Health &amp; Care NHS Trust published this data for the first time in Q3 2014/15</w:t>
      </w:r>
    </w:p>
    <w:p w:rsidR="00156B04" w:rsidRDefault="00156B04">
      <w:pPr>
        <w:rPr>
          <w:rFonts w:ascii="Arial" w:hAnsi="Arial" w:cs="Arial"/>
          <w:b/>
          <w:color w:val="000000"/>
        </w:rPr>
      </w:pPr>
    </w:p>
    <w:p w:rsidR="00156B04" w:rsidRDefault="00156B04">
      <w:pPr>
        <w:rPr>
          <w:rFonts w:ascii="Arial" w:hAnsi="Arial" w:cs="Arial"/>
          <w:b/>
          <w:color w:val="000000"/>
        </w:rPr>
      </w:pPr>
    </w:p>
    <w:p w:rsidR="00B30577" w:rsidRDefault="00B30577">
      <w:pPr>
        <w:rPr>
          <w:rFonts w:ascii="Arial" w:hAnsi="Arial" w:cs="Arial"/>
          <w:b/>
          <w:color w:val="000000"/>
        </w:rPr>
      </w:pPr>
    </w:p>
    <w:p w:rsidR="00B30577" w:rsidRDefault="00B30577">
      <w:pPr>
        <w:rPr>
          <w:rFonts w:ascii="Arial" w:hAnsi="Arial" w:cs="Arial"/>
          <w:b/>
          <w:color w:val="000000"/>
        </w:rPr>
      </w:pPr>
    </w:p>
    <w:p w:rsidR="00B913C0" w:rsidRDefault="00B913C0">
      <w:pPr>
        <w:rPr>
          <w:rFonts w:ascii="Arial" w:hAnsi="Arial" w:cs="Arial"/>
          <w:b/>
          <w:color w:val="000000"/>
        </w:rPr>
      </w:pPr>
    </w:p>
    <w:p w:rsidR="00B913C0" w:rsidRDefault="00B913C0">
      <w:pPr>
        <w:rPr>
          <w:rFonts w:ascii="Arial" w:hAnsi="Arial" w:cs="Arial"/>
          <w:b/>
          <w:color w:val="000000"/>
        </w:rPr>
      </w:pPr>
    </w:p>
    <w:p w:rsidR="00B913C0" w:rsidRDefault="00B913C0">
      <w:pPr>
        <w:rPr>
          <w:rFonts w:ascii="Arial" w:hAnsi="Arial" w:cs="Arial"/>
          <w:b/>
          <w:color w:val="000000"/>
        </w:rPr>
      </w:pPr>
    </w:p>
    <w:p w:rsidR="00B913C0" w:rsidRDefault="00B913C0">
      <w:pPr>
        <w:rPr>
          <w:rFonts w:ascii="Arial" w:hAnsi="Arial" w:cs="Arial"/>
          <w:b/>
          <w:color w:val="000000"/>
        </w:rPr>
      </w:pPr>
    </w:p>
    <w:p w:rsidR="00156B04" w:rsidRDefault="00156B04">
      <w:pPr>
        <w:rPr>
          <w:rFonts w:ascii="Arial" w:hAnsi="Arial" w:cs="Arial"/>
          <w:b/>
          <w:color w:val="000000"/>
        </w:rPr>
      </w:pPr>
    </w:p>
    <w:p w:rsidR="00156B04" w:rsidRDefault="00156B04">
      <w:pPr>
        <w:rPr>
          <w:rFonts w:ascii="Arial" w:hAnsi="Arial" w:cs="Arial"/>
          <w:b/>
          <w:color w:val="000000"/>
        </w:rPr>
      </w:pPr>
    </w:p>
    <w:p w:rsidR="006635DC" w:rsidRDefault="006635DC" w:rsidP="006635DC">
      <w:pPr>
        <w:spacing w:before="100" w:beforeAutospacing="1" w:after="100" w:afterAutospacing="1" w:line="240" w:lineRule="auto"/>
        <w:rPr>
          <w:rFonts w:ascii="Arial" w:hAnsi="Arial" w:cs="Arial"/>
          <w:b/>
          <w:color w:val="000000"/>
        </w:rPr>
      </w:pPr>
      <w:r>
        <w:rPr>
          <w:rFonts w:ascii="Arial" w:hAnsi="Arial" w:cs="Arial"/>
          <w:b/>
          <w:color w:val="000000"/>
        </w:rPr>
        <w:lastRenderedPageBreak/>
        <w:t xml:space="preserve">Table 1 - </w:t>
      </w:r>
      <w:r w:rsidRPr="006635DC">
        <w:rPr>
          <w:rFonts w:ascii="Arial" w:hAnsi="Arial" w:cs="Arial"/>
          <w:b/>
          <w:color w:val="000000"/>
        </w:rPr>
        <w:t xml:space="preserve">Performance in Initiating Research </w:t>
      </w:r>
      <w:r w:rsidR="00123DAA">
        <w:rPr>
          <w:rFonts w:ascii="Arial" w:hAnsi="Arial" w:cs="Arial"/>
          <w:b/>
          <w:color w:val="000000"/>
        </w:rPr>
        <w:t>Q1 2017/18</w:t>
      </w:r>
    </w:p>
    <w:p w:rsidR="003C7F70" w:rsidRPr="00452EFF" w:rsidRDefault="00452EFF" w:rsidP="00452EFF">
      <w:pPr>
        <w:pStyle w:val="ListParagraph"/>
        <w:numPr>
          <w:ilvl w:val="0"/>
          <w:numId w:val="6"/>
        </w:numPr>
        <w:spacing w:before="100" w:beforeAutospacing="1" w:after="100" w:afterAutospacing="1" w:line="240" w:lineRule="auto"/>
        <w:rPr>
          <w:rFonts w:ascii="Arial" w:hAnsi="Arial" w:cs="Arial"/>
          <w:b/>
          <w:color w:val="000000"/>
        </w:rPr>
      </w:pPr>
      <w:r w:rsidRPr="00452EFF">
        <w:rPr>
          <w:rFonts w:ascii="Arial" w:hAnsi="Arial" w:cs="Arial"/>
          <w:b/>
          <w:color w:val="000000"/>
        </w:rPr>
        <w:t>HRA Approval given:</w:t>
      </w:r>
    </w:p>
    <w:tbl>
      <w:tblPr>
        <w:tblStyle w:val="TableGrid"/>
        <w:tblW w:w="0" w:type="auto"/>
        <w:tblLook w:val="04A0" w:firstRow="1" w:lastRow="0" w:firstColumn="1" w:lastColumn="0" w:noHBand="0" w:noVBand="1"/>
      </w:tblPr>
      <w:tblGrid>
        <w:gridCol w:w="1527"/>
        <w:gridCol w:w="1439"/>
        <w:gridCol w:w="1342"/>
        <w:gridCol w:w="1333"/>
        <w:gridCol w:w="1410"/>
        <w:gridCol w:w="1424"/>
        <w:gridCol w:w="1452"/>
        <w:gridCol w:w="1452"/>
        <w:gridCol w:w="1324"/>
        <w:gridCol w:w="1354"/>
        <w:gridCol w:w="1331"/>
      </w:tblGrid>
      <w:tr w:rsidR="00452EFF" w:rsidTr="004349AB">
        <w:tc>
          <w:tcPr>
            <w:tcW w:w="1527" w:type="dxa"/>
          </w:tcPr>
          <w:p w:rsidR="00452EFF" w:rsidRDefault="00452EFF" w:rsidP="00452EFF">
            <w:pPr>
              <w:spacing w:before="100" w:beforeAutospacing="1" w:after="100" w:afterAutospacing="1"/>
              <w:rPr>
                <w:rFonts w:ascii="Arial" w:hAnsi="Arial" w:cs="Arial"/>
                <w:color w:val="000000"/>
                <w:sz w:val="24"/>
                <w:szCs w:val="24"/>
              </w:rPr>
            </w:pPr>
            <w:r w:rsidRPr="00452EFF">
              <w:rPr>
                <w:rFonts w:cs="Arial"/>
                <w:b/>
                <w:color w:val="000000"/>
              </w:rPr>
              <w:t>Name of Trial</w:t>
            </w:r>
            <w:r>
              <w:rPr>
                <w:rFonts w:ascii="Arial" w:hAnsi="Arial" w:cs="Arial"/>
                <w:color w:val="000000"/>
                <w:sz w:val="24"/>
                <w:szCs w:val="24"/>
              </w:rPr>
              <w:t xml:space="preserve"> </w:t>
            </w:r>
          </w:p>
        </w:tc>
        <w:tc>
          <w:tcPr>
            <w:tcW w:w="1439" w:type="dxa"/>
          </w:tcPr>
          <w:p w:rsidR="00452EFF" w:rsidRDefault="00452EFF" w:rsidP="003C7F70">
            <w:pPr>
              <w:autoSpaceDE w:val="0"/>
              <w:autoSpaceDN w:val="0"/>
              <w:adjustRightInd w:val="0"/>
              <w:rPr>
                <w:rFonts w:ascii="Arial" w:hAnsi="Arial" w:cs="Arial"/>
                <w:color w:val="000000"/>
                <w:sz w:val="24"/>
                <w:szCs w:val="24"/>
              </w:rPr>
            </w:pPr>
            <w:r w:rsidRPr="006635DC">
              <w:rPr>
                <w:rFonts w:cs="Arial"/>
                <w:b/>
                <w:color w:val="000000"/>
              </w:rPr>
              <w:t>Research Ethics Committee Reference Number</w:t>
            </w:r>
          </w:p>
        </w:tc>
        <w:tc>
          <w:tcPr>
            <w:tcW w:w="1342" w:type="dxa"/>
          </w:tcPr>
          <w:p w:rsidR="00452EFF" w:rsidRDefault="00452EFF" w:rsidP="003C7F70">
            <w:pPr>
              <w:autoSpaceDE w:val="0"/>
              <w:autoSpaceDN w:val="0"/>
              <w:adjustRightInd w:val="0"/>
              <w:rPr>
                <w:rFonts w:ascii="Arial" w:hAnsi="Arial" w:cs="Arial"/>
                <w:color w:val="000000"/>
                <w:sz w:val="24"/>
                <w:szCs w:val="24"/>
              </w:rPr>
            </w:pPr>
            <w:r>
              <w:rPr>
                <w:rFonts w:cs="Arial"/>
                <w:b/>
                <w:color w:val="000000"/>
              </w:rPr>
              <w:t>IRAS number</w:t>
            </w:r>
          </w:p>
        </w:tc>
        <w:tc>
          <w:tcPr>
            <w:tcW w:w="1333" w:type="dxa"/>
          </w:tcPr>
          <w:p w:rsidR="00452EFF" w:rsidRPr="00452EFF" w:rsidRDefault="00452EFF" w:rsidP="00452EFF">
            <w:pPr>
              <w:spacing w:before="100" w:beforeAutospacing="1" w:after="100" w:afterAutospacing="1"/>
              <w:rPr>
                <w:rFonts w:ascii="Arial" w:hAnsi="Arial" w:cs="Arial"/>
                <w:color w:val="000000"/>
                <w:sz w:val="18"/>
                <w:szCs w:val="18"/>
              </w:rPr>
            </w:pPr>
            <w:r w:rsidRPr="00452EFF">
              <w:rPr>
                <w:rFonts w:cs="Arial"/>
                <w:b/>
                <w:color w:val="000000"/>
              </w:rPr>
              <w:t>Date Site Invited</w:t>
            </w:r>
          </w:p>
        </w:tc>
        <w:tc>
          <w:tcPr>
            <w:tcW w:w="1410"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selected</w:t>
            </w:r>
          </w:p>
        </w:tc>
        <w:tc>
          <w:tcPr>
            <w:tcW w:w="142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HRA Approval date</w:t>
            </w:r>
          </w:p>
        </w:tc>
        <w:tc>
          <w:tcPr>
            <w:tcW w:w="1452"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confirmed by Sponsor</w:t>
            </w:r>
          </w:p>
        </w:tc>
        <w:tc>
          <w:tcPr>
            <w:tcW w:w="1452"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confirmed</w:t>
            </w:r>
          </w:p>
        </w:tc>
        <w:tc>
          <w:tcPr>
            <w:tcW w:w="132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Site Ready to Start</w:t>
            </w:r>
          </w:p>
        </w:tc>
        <w:tc>
          <w:tcPr>
            <w:tcW w:w="1354"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Date of Recruitment 1st Patient</w:t>
            </w:r>
          </w:p>
        </w:tc>
        <w:tc>
          <w:tcPr>
            <w:tcW w:w="1331" w:type="dxa"/>
          </w:tcPr>
          <w:p w:rsidR="00452EFF" w:rsidRPr="00452EFF" w:rsidRDefault="00452EFF" w:rsidP="00452EFF">
            <w:pPr>
              <w:spacing w:before="100" w:beforeAutospacing="1" w:after="100" w:afterAutospacing="1"/>
              <w:rPr>
                <w:rFonts w:cs="Arial"/>
                <w:b/>
                <w:color w:val="000000"/>
              </w:rPr>
            </w:pPr>
            <w:r w:rsidRPr="00452EFF">
              <w:rPr>
                <w:rFonts w:cs="Arial"/>
                <w:b/>
                <w:color w:val="000000"/>
              </w:rPr>
              <w:t>Reasons for delay in recruiting the first patient into the Trial</w:t>
            </w:r>
          </w:p>
        </w:tc>
      </w:tr>
      <w:tr w:rsidR="00452EFF" w:rsidTr="004349AB">
        <w:tc>
          <w:tcPr>
            <w:tcW w:w="1527" w:type="dxa"/>
          </w:tcPr>
          <w:p w:rsidR="00452EFF" w:rsidRPr="00452EFF" w:rsidRDefault="00452EFF" w:rsidP="00452EFF">
            <w:pPr>
              <w:rPr>
                <w:rFonts w:cs="Arial"/>
                <w:color w:val="000000"/>
              </w:rPr>
            </w:pPr>
            <w:proofErr w:type="spellStart"/>
            <w:r w:rsidRPr="00452EFF">
              <w:rPr>
                <w:rFonts w:cs="Arial"/>
                <w:color w:val="000000"/>
              </w:rPr>
              <w:t>FeSTivAPP</w:t>
            </w:r>
            <w:proofErr w:type="spellEnd"/>
            <w:r w:rsidRPr="00452EFF">
              <w:rPr>
                <w:rFonts w:cs="Arial"/>
                <w:color w:val="000000"/>
              </w:rPr>
              <w:t xml:space="preserve"> – an innovative method for delivering Functional</w:t>
            </w:r>
          </w:p>
          <w:p w:rsidR="00452EFF" w:rsidRPr="00452EFF" w:rsidRDefault="00452EFF" w:rsidP="00452EFF">
            <w:pPr>
              <w:rPr>
                <w:rFonts w:cs="Arial"/>
                <w:color w:val="000000"/>
              </w:rPr>
            </w:pPr>
            <w:r w:rsidRPr="00452EFF">
              <w:rPr>
                <w:rFonts w:cs="Arial"/>
                <w:color w:val="000000"/>
              </w:rPr>
              <w:t>Strength Training exercises for the Upper Limb in people</w:t>
            </w:r>
          </w:p>
          <w:p w:rsidR="00452EFF" w:rsidRDefault="00452EFF" w:rsidP="00452EFF">
            <w:pPr>
              <w:rPr>
                <w:rFonts w:ascii="Arial" w:hAnsi="Arial" w:cs="Arial"/>
                <w:color w:val="000000"/>
                <w:sz w:val="24"/>
                <w:szCs w:val="24"/>
              </w:rPr>
            </w:pPr>
            <w:r w:rsidRPr="00452EFF">
              <w:rPr>
                <w:rFonts w:cs="Arial"/>
                <w:color w:val="000000"/>
              </w:rPr>
              <w:t>after stroke – a feasibility study</w:t>
            </w:r>
          </w:p>
        </w:tc>
        <w:tc>
          <w:tcPr>
            <w:tcW w:w="1439" w:type="dxa"/>
          </w:tcPr>
          <w:p w:rsidR="00452EFF" w:rsidRPr="00CB4FEA" w:rsidRDefault="00452EFF" w:rsidP="00CB4FEA">
            <w:pPr>
              <w:rPr>
                <w:rFonts w:cs="Arial"/>
                <w:color w:val="000000"/>
              </w:rPr>
            </w:pPr>
            <w:r w:rsidRPr="00CB4FEA">
              <w:rPr>
                <w:rFonts w:cs="Arial"/>
                <w:color w:val="000000"/>
              </w:rPr>
              <w:t>16/WM/0481</w:t>
            </w:r>
          </w:p>
        </w:tc>
        <w:tc>
          <w:tcPr>
            <w:tcW w:w="1342" w:type="dxa"/>
          </w:tcPr>
          <w:p w:rsidR="00452EFF" w:rsidRPr="00CB4FEA" w:rsidRDefault="00452EFF" w:rsidP="00CB4FEA">
            <w:pPr>
              <w:rPr>
                <w:rFonts w:cs="Arial"/>
                <w:color w:val="000000"/>
              </w:rPr>
            </w:pPr>
            <w:r w:rsidRPr="00CB4FEA">
              <w:rPr>
                <w:rFonts w:cs="Arial"/>
                <w:color w:val="000000"/>
              </w:rPr>
              <w:t>159752</w:t>
            </w:r>
          </w:p>
        </w:tc>
        <w:tc>
          <w:tcPr>
            <w:tcW w:w="1333" w:type="dxa"/>
          </w:tcPr>
          <w:p w:rsidR="00452EFF" w:rsidRPr="00CB4FEA" w:rsidRDefault="00D31D8E" w:rsidP="00CB4FEA">
            <w:pPr>
              <w:rPr>
                <w:rFonts w:cs="Arial"/>
                <w:color w:val="000000"/>
              </w:rPr>
            </w:pPr>
            <w:r>
              <w:rPr>
                <w:rFonts w:cs="Arial"/>
                <w:color w:val="000000"/>
              </w:rPr>
              <w:t>01/08/2016</w:t>
            </w:r>
          </w:p>
        </w:tc>
        <w:tc>
          <w:tcPr>
            <w:tcW w:w="1410" w:type="dxa"/>
          </w:tcPr>
          <w:p w:rsidR="00452EFF" w:rsidRPr="00CB4FEA" w:rsidRDefault="00452EFF" w:rsidP="00CB4FEA">
            <w:pPr>
              <w:rPr>
                <w:rFonts w:cs="Arial"/>
                <w:color w:val="000000"/>
              </w:rPr>
            </w:pPr>
            <w:r w:rsidRPr="00CB4FEA">
              <w:rPr>
                <w:rFonts w:cs="Arial"/>
                <w:color w:val="000000"/>
              </w:rPr>
              <w:t>16/12/2016</w:t>
            </w:r>
          </w:p>
        </w:tc>
        <w:tc>
          <w:tcPr>
            <w:tcW w:w="1424" w:type="dxa"/>
          </w:tcPr>
          <w:p w:rsidR="00452EFF" w:rsidRPr="00CB4FEA" w:rsidRDefault="00452EFF" w:rsidP="00CB4FEA">
            <w:pPr>
              <w:rPr>
                <w:rFonts w:cs="Arial"/>
                <w:color w:val="000000"/>
              </w:rPr>
            </w:pPr>
            <w:r w:rsidRPr="00CB4FEA">
              <w:rPr>
                <w:rFonts w:cs="Arial"/>
                <w:color w:val="000000"/>
              </w:rPr>
              <w:t>06/01/2017</w:t>
            </w:r>
          </w:p>
        </w:tc>
        <w:tc>
          <w:tcPr>
            <w:tcW w:w="1452" w:type="dxa"/>
          </w:tcPr>
          <w:p w:rsidR="00452EFF" w:rsidRPr="00CB4FEA" w:rsidRDefault="00452EFF" w:rsidP="00CB4FEA">
            <w:pPr>
              <w:rPr>
                <w:rFonts w:cs="Arial"/>
                <w:color w:val="000000"/>
              </w:rPr>
            </w:pPr>
            <w:r w:rsidRPr="00CB4FEA">
              <w:rPr>
                <w:rFonts w:cs="Arial"/>
                <w:color w:val="000000"/>
              </w:rPr>
              <w:t>06/01/2017</w:t>
            </w:r>
          </w:p>
        </w:tc>
        <w:tc>
          <w:tcPr>
            <w:tcW w:w="1452" w:type="dxa"/>
          </w:tcPr>
          <w:p w:rsidR="00452EFF" w:rsidRPr="00CB4FEA" w:rsidRDefault="00CB4FEA" w:rsidP="00CB4FEA">
            <w:pPr>
              <w:rPr>
                <w:rFonts w:cs="Arial"/>
                <w:color w:val="000000"/>
              </w:rPr>
            </w:pPr>
            <w:r w:rsidRPr="00CB4FEA">
              <w:rPr>
                <w:rFonts w:cs="Arial"/>
                <w:color w:val="000000"/>
              </w:rPr>
              <w:t>17/01/2017</w:t>
            </w:r>
          </w:p>
        </w:tc>
        <w:tc>
          <w:tcPr>
            <w:tcW w:w="1324" w:type="dxa"/>
          </w:tcPr>
          <w:p w:rsidR="00452EFF" w:rsidRPr="00147384" w:rsidRDefault="00080E83" w:rsidP="00147384">
            <w:pPr>
              <w:rPr>
                <w:rFonts w:ascii="Arial" w:hAnsi="Arial" w:cs="Arial"/>
                <w:color w:val="000000"/>
              </w:rPr>
            </w:pPr>
            <w:r>
              <w:rPr>
                <w:rFonts w:cs="Arial"/>
                <w:color w:val="000000"/>
              </w:rPr>
              <w:t>03/02/2017</w:t>
            </w:r>
          </w:p>
        </w:tc>
        <w:tc>
          <w:tcPr>
            <w:tcW w:w="1354" w:type="dxa"/>
          </w:tcPr>
          <w:p w:rsidR="00452EFF" w:rsidRPr="00ED157A" w:rsidRDefault="00D75B0B" w:rsidP="003C7F70">
            <w:pPr>
              <w:autoSpaceDE w:val="0"/>
              <w:autoSpaceDN w:val="0"/>
              <w:adjustRightInd w:val="0"/>
              <w:rPr>
                <w:rFonts w:cs="Arial"/>
                <w:color w:val="000000"/>
              </w:rPr>
            </w:pPr>
            <w:r>
              <w:rPr>
                <w:rFonts w:cs="Arial"/>
                <w:color w:val="000000"/>
              </w:rPr>
              <w:t>07/02/2017</w:t>
            </w:r>
          </w:p>
        </w:tc>
        <w:tc>
          <w:tcPr>
            <w:tcW w:w="1331" w:type="dxa"/>
          </w:tcPr>
          <w:p w:rsidR="00452EFF" w:rsidRPr="00CB4FEA" w:rsidRDefault="00A0575D" w:rsidP="00CB4FEA">
            <w:pPr>
              <w:rPr>
                <w:rFonts w:cs="Arial"/>
                <w:color w:val="000000"/>
              </w:rPr>
            </w:pPr>
            <w:r>
              <w:rPr>
                <w:rFonts w:cs="Arial"/>
                <w:color w:val="000000"/>
              </w:rPr>
              <w:t>n/a</w:t>
            </w:r>
          </w:p>
        </w:tc>
      </w:tr>
    </w:tbl>
    <w:p w:rsidR="00452EFF" w:rsidRPr="003C7F70" w:rsidRDefault="00452EFF" w:rsidP="003C7F70">
      <w:pPr>
        <w:autoSpaceDE w:val="0"/>
        <w:autoSpaceDN w:val="0"/>
        <w:adjustRightInd w:val="0"/>
        <w:spacing w:after="0" w:line="240" w:lineRule="auto"/>
        <w:rPr>
          <w:rFonts w:ascii="Arial" w:hAnsi="Arial" w:cs="Arial"/>
          <w:color w:val="000000"/>
          <w:sz w:val="24"/>
          <w:szCs w:val="24"/>
        </w:rPr>
      </w:pPr>
    </w:p>
    <w:p w:rsidR="003C7F70" w:rsidRPr="003C7F70" w:rsidRDefault="00123DAA" w:rsidP="003C7F70">
      <w:pPr>
        <w:autoSpaceDE w:val="0"/>
        <w:autoSpaceDN w:val="0"/>
        <w:adjustRightInd w:val="0"/>
        <w:spacing w:after="0" w:line="240" w:lineRule="auto"/>
        <w:rPr>
          <w:rFonts w:ascii="Arial" w:hAnsi="Arial" w:cs="Arial"/>
          <w:color w:val="000000"/>
        </w:rPr>
      </w:pPr>
      <w:r>
        <w:rPr>
          <w:rFonts w:ascii="Arial" w:hAnsi="Arial" w:cs="Arial"/>
          <w:color w:val="000000"/>
        </w:rPr>
        <w:t xml:space="preserve">For this Q1 2017/18 </w:t>
      </w:r>
      <w:r w:rsidR="003C7F70">
        <w:rPr>
          <w:rFonts w:ascii="Arial" w:hAnsi="Arial" w:cs="Arial"/>
          <w:color w:val="000000"/>
        </w:rPr>
        <w:t xml:space="preserve">there are no commercial clinical trials that </w:t>
      </w:r>
      <w:r w:rsidR="008552F6">
        <w:rPr>
          <w:rFonts w:ascii="Arial" w:hAnsi="Arial" w:cs="Arial"/>
          <w:color w:val="000000"/>
        </w:rPr>
        <w:t>fulfil</w:t>
      </w:r>
      <w:r w:rsidR="003C7F70">
        <w:rPr>
          <w:rFonts w:ascii="Arial" w:hAnsi="Arial" w:cs="Arial"/>
          <w:color w:val="000000"/>
        </w:rPr>
        <w:t xml:space="preserve"> the criteria for the PID reporting and there is a nil return for Performance in Delivering</w:t>
      </w:r>
    </w:p>
    <w:p w:rsidR="003C7F70" w:rsidRDefault="003C7F70" w:rsidP="00E8041A">
      <w:pPr>
        <w:spacing w:before="100" w:beforeAutospacing="1" w:after="100" w:afterAutospacing="1" w:line="240" w:lineRule="auto"/>
        <w:rPr>
          <w:rFonts w:ascii="Arial" w:hAnsi="Arial" w:cs="Arial"/>
          <w:color w:val="000000"/>
        </w:rPr>
      </w:pPr>
    </w:p>
    <w:sectPr w:rsidR="003C7F70" w:rsidSect="006635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91C"/>
    <w:multiLevelType w:val="hybridMultilevel"/>
    <w:tmpl w:val="15B8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A31A5"/>
    <w:multiLevelType w:val="multilevel"/>
    <w:tmpl w:val="6784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6738A"/>
    <w:multiLevelType w:val="hybridMultilevel"/>
    <w:tmpl w:val="73EA3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8F783F"/>
    <w:multiLevelType w:val="hybridMultilevel"/>
    <w:tmpl w:val="0D68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F60A7"/>
    <w:multiLevelType w:val="multilevel"/>
    <w:tmpl w:val="E05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B7997"/>
    <w:multiLevelType w:val="multilevel"/>
    <w:tmpl w:val="E05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40"/>
    <w:rsid w:val="00021391"/>
    <w:rsid w:val="000251C4"/>
    <w:rsid w:val="00080E83"/>
    <w:rsid w:val="000F1506"/>
    <w:rsid w:val="00123DAA"/>
    <w:rsid w:val="00147384"/>
    <w:rsid w:val="00156B04"/>
    <w:rsid w:val="001863CF"/>
    <w:rsid w:val="001867E7"/>
    <w:rsid w:val="001D5889"/>
    <w:rsid w:val="002F7527"/>
    <w:rsid w:val="00357C40"/>
    <w:rsid w:val="00371077"/>
    <w:rsid w:val="003C7F70"/>
    <w:rsid w:val="00407C9C"/>
    <w:rsid w:val="004349AB"/>
    <w:rsid w:val="00452EFF"/>
    <w:rsid w:val="004D1588"/>
    <w:rsid w:val="00622EFC"/>
    <w:rsid w:val="006635DC"/>
    <w:rsid w:val="00663800"/>
    <w:rsid w:val="00695B69"/>
    <w:rsid w:val="00744F0B"/>
    <w:rsid w:val="00790E18"/>
    <w:rsid w:val="007F2DA8"/>
    <w:rsid w:val="008552F6"/>
    <w:rsid w:val="0092167E"/>
    <w:rsid w:val="00992014"/>
    <w:rsid w:val="009E13AD"/>
    <w:rsid w:val="00A0575D"/>
    <w:rsid w:val="00AB4C3A"/>
    <w:rsid w:val="00AD44FA"/>
    <w:rsid w:val="00B30577"/>
    <w:rsid w:val="00B913C0"/>
    <w:rsid w:val="00BA39EA"/>
    <w:rsid w:val="00BD35F6"/>
    <w:rsid w:val="00C1057A"/>
    <w:rsid w:val="00C8490E"/>
    <w:rsid w:val="00CB4FEA"/>
    <w:rsid w:val="00D31D8E"/>
    <w:rsid w:val="00D74057"/>
    <w:rsid w:val="00D75B0B"/>
    <w:rsid w:val="00DA3977"/>
    <w:rsid w:val="00DD27D9"/>
    <w:rsid w:val="00E12E3D"/>
    <w:rsid w:val="00E36EC7"/>
    <w:rsid w:val="00E42FDF"/>
    <w:rsid w:val="00E67B47"/>
    <w:rsid w:val="00E8041A"/>
    <w:rsid w:val="00ED157A"/>
    <w:rsid w:val="00ED5C07"/>
    <w:rsid w:val="00F27CA6"/>
    <w:rsid w:val="00F82DC2"/>
    <w:rsid w:val="00F92A88"/>
    <w:rsid w:val="00FC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7110C-8FB1-4EA8-A784-D4A173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7C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57C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C4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7C4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57C4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5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56B04"/>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6B04"/>
    <w:pPr>
      <w:ind w:left="720"/>
      <w:contextualSpacing/>
    </w:pPr>
  </w:style>
  <w:style w:type="paragraph" w:styleId="BalloonText">
    <w:name w:val="Balloon Text"/>
    <w:basedOn w:val="Normal"/>
    <w:link w:val="BalloonTextChar"/>
    <w:uiPriority w:val="99"/>
    <w:semiHidden/>
    <w:unhideWhenUsed/>
    <w:rsid w:val="00021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1968">
      <w:bodyDiv w:val="1"/>
      <w:marLeft w:val="0"/>
      <w:marRight w:val="0"/>
      <w:marTop w:val="0"/>
      <w:marBottom w:val="0"/>
      <w:divBdr>
        <w:top w:val="none" w:sz="0" w:space="0" w:color="auto"/>
        <w:left w:val="none" w:sz="0" w:space="0" w:color="auto"/>
        <w:bottom w:val="none" w:sz="0" w:space="0" w:color="auto"/>
        <w:right w:val="none" w:sz="0" w:space="0" w:color="auto"/>
      </w:divBdr>
    </w:div>
    <w:div w:id="100997622">
      <w:bodyDiv w:val="1"/>
      <w:marLeft w:val="0"/>
      <w:marRight w:val="0"/>
      <w:marTop w:val="0"/>
      <w:marBottom w:val="0"/>
      <w:divBdr>
        <w:top w:val="none" w:sz="0" w:space="0" w:color="auto"/>
        <w:left w:val="none" w:sz="0" w:space="0" w:color="auto"/>
        <w:bottom w:val="none" w:sz="0" w:space="0" w:color="auto"/>
        <w:right w:val="none" w:sz="0" w:space="0" w:color="auto"/>
      </w:divBdr>
    </w:div>
    <w:div w:id="107824698">
      <w:bodyDiv w:val="1"/>
      <w:marLeft w:val="0"/>
      <w:marRight w:val="0"/>
      <w:marTop w:val="0"/>
      <w:marBottom w:val="0"/>
      <w:divBdr>
        <w:top w:val="none" w:sz="0" w:space="0" w:color="auto"/>
        <w:left w:val="none" w:sz="0" w:space="0" w:color="auto"/>
        <w:bottom w:val="none" w:sz="0" w:space="0" w:color="auto"/>
        <w:right w:val="none" w:sz="0" w:space="0" w:color="auto"/>
      </w:divBdr>
    </w:div>
    <w:div w:id="133304473">
      <w:bodyDiv w:val="1"/>
      <w:marLeft w:val="0"/>
      <w:marRight w:val="0"/>
      <w:marTop w:val="0"/>
      <w:marBottom w:val="0"/>
      <w:divBdr>
        <w:top w:val="none" w:sz="0" w:space="0" w:color="auto"/>
        <w:left w:val="none" w:sz="0" w:space="0" w:color="auto"/>
        <w:bottom w:val="none" w:sz="0" w:space="0" w:color="auto"/>
        <w:right w:val="none" w:sz="0" w:space="0" w:color="auto"/>
      </w:divBdr>
    </w:div>
    <w:div w:id="456294111">
      <w:bodyDiv w:val="1"/>
      <w:marLeft w:val="0"/>
      <w:marRight w:val="0"/>
      <w:marTop w:val="0"/>
      <w:marBottom w:val="0"/>
      <w:divBdr>
        <w:top w:val="none" w:sz="0" w:space="0" w:color="auto"/>
        <w:left w:val="none" w:sz="0" w:space="0" w:color="auto"/>
        <w:bottom w:val="none" w:sz="0" w:space="0" w:color="auto"/>
        <w:right w:val="none" w:sz="0" w:space="0" w:color="auto"/>
      </w:divBdr>
    </w:div>
    <w:div w:id="824737584">
      <w:bodyDiv w:val="1"/>
      <w:marLeft w:val="0"/>
      <w:marRight w:val="0"/>
      <w:marTop w:val="0"/>
      <w:marBottom w:val="0"/>
      <w:divBdr>
        <w:top w:val="none" w:sz="0" w:space="0" w:color="auto"/>
        <w:left w:val="none" w:sz="0" w:space="0" w:color="auto"/>
        <w:bottom w:val="none" w:sz="0" w:space="0" w:color="auto"/>
        <w:right w:val="none" w:sz="0" w:space="0" w:color="auto"/>
      </w:divBdr>
    </w:div>
    <w:div w:id="1338458594">
      <w:bodyDiv w:val="1"/>
      <w:marLeft w:val="0"/>
      <w:marRight w:val="0"/>
      <w:marTop w:val="0"/>
      <w:marBottom w:val="0"/>
      <w:divBdr>
        <w:top w:val="none" w:sz="0" w:space="0" w:color="auto"/>
        <w:left w:val="none" w:sz="0" w:space="0" w:color="auto"/>
        <w:bottom w:val="none" w:sz="0" w:space="0" w:color="auto"/>
        <w:right w:val="none" w:sz="0" w:space="0" w:color="auto"/>
      </w:divBdr>
    </w:div>
    <w:div w:id="1341277739">
      <w:bodyDiv w:val="1"/>
      <w:marLeft w:val="0"/>
      <w:marRight w:val="0"/>
      <w:marTop w:val="0"/>
      <w:marBottom w:val="0"/>
      <w:divBdr>
        <w:top w:val="none" w:sz="0" w:space="0" w:color="auto"/>
        <w:left w:val="none" w:sz="0" w:space="0" w:color="auto"/>
        <w:bottom w:val="none" w:sz="0" w:space="0" w:color="auto"/>
        <w:right w:val="none" w:sz="0" w:space="0" w:color="auto"/>
      </w:divBdr>
      <w:divsChild>
        <w:div w:id="338897815">
          <w:marLeft w:val="0"/>
          <w:marRight w:val="0"/>
          <w:marTop w:val="0"/>
          <w:marBottom w:val="0"/>
          <w:divBdr>
            <w:top w:val="none" w:sz="0" w:space="0" w:color="auto"/>
            <w:left w:val="none" w:sz="0" w:space="0" w:color="auto"/>
            <w:bottom w:val="none" w:sz="0" w:space="0" w:color="auto"/>
            <w:right w:val="none" w:sz="0" w:space="0" w:color="auto"/>
          </w:divBdr>
          <w:divsChild>
            <w:div w:id="1321469856">
              <w:marLeft w:val="150"/>
              <w:marRight w:val="150"/>
              <w:marTop w:val="0"/>
              <w:marBottom w:val="600"/>
              <w:divBdr>
                <w:top w:val="none" w:sz="0" w:space="0" w:color="auto"/>
                <w:left w:val="none" w:sz="0" w:space="0" w:color="auto"/>
                <w:bottom w:val="none" w:sz="0" w:space="0" w:color="auto"/>
                <w:right w:val="none" w:sz="0" w:space="0" w:color="auto"/>
              </w:divBdr>
              <w:divsChild>
                <w:div w:id="16738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7242">
      <w:bodyDiv w:val="1"/>
      <w:marLeft w:val="0"/>
      <w:marRight w:val="0"/>
      <w:marTop w:val="0"/>
      <w:marBottom w:val="0"/>
      <w:divBdr>
        <w:top w:val="none" w:sz="0" w:space="0" w:color="auto"/>
        <w:left w:val="none" w:sz="0" w:space="0" w:color="auto"/>
        <w:bottom w:val="none" w:sz="0" w:space="0" w:color="auto"/>
        <w:right w:val="none" w:sz="0" w:space="0" w:color="auto"/>
      </w:divBdr>
    </w:div>
    <w:div w:id="1851674334">
      <w:bodyDiv w:val="1"/>
      <w:marLeft w:val="0"/>
      <w:marRight w:val="0"/>
      <w:marTop w:val="0"/>
      <w:marBottom w:val="0"/>
      <w:divBdr>
        <w:top w:val="none" w:sz="0" w:space="0" w:color="auto"/>
        <w:left w:val="none" w:sz="0" w:space="0" w:color="auto"/>
        <w:bottom w:val="none" w:sz="0" w:space="0" w:color="auto"/>
        <w:right w:val="none" w:sz="0" w:space="0" w:color="auto"/>
      </w:divBdr>
    </w:div>
    <w:div w:id="1926306213">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 Yarmouth &amp; Waveney</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Symms</dc:creator>
  <cp:lastModifiedBy>Perez Olivas, Gisela</cp:lastModifiedBy>
  <cp:revision>5</cp:revision>
  <cp:lastPrinted>2017-01-16T14:11:00Z</cp:lastPrinted>
  <dcterms:created xsi:type="dcterms:W3CDTF">2017-04-19T14:15:00Z</dcterms:created>
  <dcterms:modified xsi:type="dcterms:W3CDTF">2017-07-19T13:42:00Z</dcterms:modified>
</cp:coreProperties>
</file>